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67EC0">
      <w:pPr>
        <w:pStyle w:val="1"/>
      </w:pPr>
      <w:bookmarkStart w:id="0" w:name="_GoBack"/>
      <w:bookmarkEnd w:id="0"/>
      <w:r>
        <w:t>Андрей Сергеевич Десницкий</w:t>
      </w:r>
    </w:p>
    <w:p w:rsidR="00000000" w:rsidRDefault="00467EC0">
      <w:pPr>
        <w:pStyle w:val="1"/>
      </w:pPr>
      <w:r>
        <w:t>Призывает ли Библия к геноциду?</w:t>
      </w:r>
    </w:p>
    <w:p w:rsidR="00000000" w:rsidRDefault="00467EC0"/>
    <w:p w:rsidR="00000000" w:rsidRDefault="00467EC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Десницкий А. Неполное собрание сочинений… http://desnitsky.ru/bible</w:t>
      </w:r>
      <w:r>
        <w:rPr>
          <w:i/>
          <w:iCs/>
          <w:sz w:val="20"/>
          <w:szCs w:val="20"/>
        </w:rPr>
        <w:noBreakHyphen/>
        <w:t>study/popular/genoocide</w:t>
      </w:r>
    </w:p>
    <w:p w:rsidR="00000000" w:rsidRDefault="00467EC0"/>
    <w:p w:rsidR="00000000" w:rsidRDefault="00467EC0">
      <w:pPr>
        <w:pStyle w:val="2"/>
      </w:pPr>
      <w:r>
        <w:t xml:space="preserve">Аннотация </w:t>
      </w:r>
    </w:p>
    <w:p w:rsidR="00000000" w:rsidRDefault="00467EC0"/>
    <w:p w:rsidR="00000000" w:rsidRDefault="00467EC0">
      <w:pPr>
        <w:pStyle w:val="Annotation"/>
      </w:pPr>
      <w:r>
        <w:t>Андрей Сергеевич Десницкий – историк, консультант Института перевода Библии, научный сотрудник Института Востоковедения РАН.</w:t>
      </w:r>
    </w:p>
    <w:p w:rsidR="00000000" w:rsidRDefault="00467EC0"/>
    <w:p w:rsidR="00000000" w:rsidRDefault="00467EC0">
      <w:pPr>
        <w:pStyle w:val="2"/>
      </w:pPr>
      <w:r>
        <w:t>Андрей Десницкий</w:t>
      </w:r>
    </w:p>
    <w:p w:rsidR="00000000" w:rsidRDefault="00467EC0">
      <w:pPr>
        <w:pStyle w:val="2"/>
        <w:rPr>
          <w:b w:val="0"/>
          <w:bCs w:val="0"/>
        </w:rPr>
      </w:pPr>
      <w:r>
        <w:t>Призывае</w:t>
      </w:r>
      <w:r>
        <w:t>т ли Библия к геноциду?</w:t>
      </w:r>
      <w:r>
        <w:rPr>
          <w:b w:val="0"/>
          <w:bCs w:val="0"/>
        </w:rPr>
        <w:t xml:space="preserve"> </w:t>
      </w:r>
    </w:p>
    <w:p w:rsidR="00000000" w:rsidRDefault="00467EC0"/>
    <w:p w:rsidR="00000000" w:rsidRDefault="00467EC0">
      <w:r>
        <w:t>В прошлом номере журнала</w:t>
      </w:r>
      <w:r>
        <w:rPr>
          <w:position w:val="6"/>
        </w:rPr>
        <w:footnoteReference w:id="1"/>
      </w:r>
      <w:r>
        <w:t xml:space="preserve"> мы обсуждали вопрос о том, жесток ли Ветхозаветный Закон. Но Закон – это ещё не самое шокирующее место Священного Писания… Г</w:t>
      </w:r>
      <w:r>
        <w:t>ораздо труднее современному человеку принять и понять повествования о том, как израильтяне истребляли мирное население, как утверждает Библия, по прямому приказу Бога. Неужели это правда? И как это можно объяснить?</w:t>
      </w:r>
    </w:p>
    <w:p w:rsidR="00000000" w:rsidRDefault="00467EC0"/>
    <w:p w:rsidR="00000000" w:rsidRDefault="00467EC0">
      <w:pPr>
        <w:pStyle w:val="6"/>
      </w:pPr>
      <w:r>
        <w:t>Иисус Навин, Илия, Ииуй…</w:t>
      </w:r>
    </w:p>
    <w:p w:rsidR="00000000" w:rsidRDefault="00467EC0"/>
    <w:p w:rsidR="00000000" w:rsidRDefault="00467EC0">
      <w:r>
        <w:t>Стоит для начала посмотреть – а где именно в Ветхом Завете мы читаем о таких событиях? Прежде всего, разумеется, в книге Иисуса Навина. Наверное, если бы среди современных христиан провели голосование: какую книгу убрать из Библии – подавляющее большинство</w:t>
      </w:r>
      <w:r>
        <w:t xml:space="preserve"> голосов набрала бы именно она. </w:t>
      </w:r>
      <w:r>
        <w:rPr>
          <w:i/>
          <w:iCs/>
        </w:rPr>
        <w:t>«В тот же день взял Иисус Макед, и поразил его мечом… никого не оставил, кто бы уцелел и избежал; и поступил с царём Македским так же, как поступил с царём Иерихонским. И пошёл Иисус и все Израильтяне с ним из Македа к Ливне</w:t>
      </w:r>
      <w:r>
        <w:rPr>
          <w:i/>
          <w:iCs/>
        </w:rPr>
        <w:t xml:space="preserve"> и воевал против Ливны; и предал Господь и её в руки Израиля, и взяли её и царя её, и истребил её Иисус мечом и всё дышащее, что находилось в ней: никого не оставил в ней»</w:t>
      </w:r>
      <w:r>
        <w:t xml:space="preserve">  (Ис.Нав. 10, 28</w:t>
      </w:r>
      <w:r>
        <w:noBreakHyphen/>
        <w:t>30).</w:t>
      </w:r>
    </w:p>
    <w:p w:rsidR="00000000" w:rsidRDefault="00467EC0">
      <w:r>
        <w:t xml:space="preserve">На современном языке это называется геноцидом, за это сегодня </w:t>
      </w:r>
      <w:r>
        <w:t xml:space="preserve">судят в международных судах. Но тогда, оказывается, Иисус Навин действовал в полном соответствии с Божьей волей: </w:t>
      </w:r>
      <w:r>
        <w:rPr>
          <w:i/>
          <w:iCs/>
        </w:rPr>
        <w:t>«А в городах сих народов, которых Господь Бог твой даёт тебе во владение, не оставляй в живых ни одной души»</w:t>
      </w:r>
      <w:r>
        <w:t xml:space="preserve">  (Втор. 20, 16).</w:t>
      </w:r>
    </w:p>
    <w:p w:rsidR="00000000" w:rsidRDefault="00467EC0">
      <w:r>
        <w:t>Нечто подобное мы</w:t>
      </w:r>
      <w:r>
        <w:t xml:space="preserve"> встречаем и на страницах других книг Ветхого Завета… Пророк Илия состязается со жрецами языческого божества Ваала и после победы над ними убивает их всех (3 Цар. 18). Впрочем, не приходится сомневаться, что и они поступили бы с ним точно так же, если бы о</w:t>
      </w:r>
      <w:r>
        <w:t>казались победителями. А царь Ииуй вообще собрал всех пророков Ваала и перебил их безо всяких состязаний (4 Цар. 10).</w:t>
      </w:r>
    </w:p>
    <w:p w:rsidR="00000000" w:rsidRDefault="00467EC0">
      <w:r>
        <w:t>Почему же столько крови?</w:t>
      </w:r>
    </w:p>
    <w:p w:rsidR="00000000" w:rsidRDefault="00467EC0">
      <w:r>
        <w:t>С одной стороны, не стоит забывать, что для типичного язычника самым истинным будет не тот бог, который говорит о</w:t>
      </w:r>
      <w:r>
        <w:t xml:space="preserve"> милосердии, а тот, который окажется сильнее. Вот характерный рассказ о соперничестве язычества и христианства на Алтае, переданный немецким этнографом XIX в. В.В. Радловом (</w:t>
      </w:r>
      <w:r>
        <w:rPr>
          <w:i/>
          <w:iCs/>
        </w:rPr>
        <w:t>«Из Сибири. Страницы дневника»</w:t>
      </w:r>
      <w:r>
        <w:t xml:space="preserve"> . Москва, 1989, с. 181): </w:t>
      </w:r>
      <w:r>
        <w:rPr>
          <w:i/>
          <w:iCs/>
        </w:rPr>
        <w:t>«Мой хозяин рассказал мне,</w:t>
      </w:r>
      <w:r>
        <w:rPr>
          <w:i/>
          <w:iCs/>
        </w:rPr>
        <w:t xml:space="preserve"> что однажды он ночевал в юрте, где шаман проделывал свои фокусы. Обведя вокруг юрты магический круг, он вошёл в неё, но тотчас же выскочил обратно, как бы влекомый невидимой силой; на улице он тотчас впал в исступление, непрерывно крича: «В юрте лежит чуж</w:t>
      </w:r>
      <w:r>
        <w:rPr>
          <w:i/>
          <w:iCs/>
        </w:rPr>
        <w:t>ой человек, а на груди его – раскалённый уголь, он обжёг меня». А рассказчик носил на груди образок, подаренный ему отцом Макарием»</w:t>
      </w:r>
      <w:r>
        <w:t xml:space="preserve">  (речь идёт о преп. Макарии Глухарёве, просветителе Алтая).</w:t>
      </w:r>
    </w:p>
    <w:p w:rsidR="00000000" w:rsidRDefault="00467EC0">
      <w:r>
        <w:lastRenderedPageBreak/>
        <w:t xml:space="preserve">Нечто очень похожее звучит и в рассказе о том, как филистимляне </w:t>
      </w:r>
      <w:r>
        <w:t>взяли в плен главную святыню израильтян, Ковчег Завета, и отнесли его в храм своего главного божества, Дагона. На следующее утро они обнаружили, что его статуя лежит поверженной перед Ковчегом (1 Цар. 5).</w:t>
      </w:r>
    </w:p>
    <w:p w:rsidR="00000000" w:rsidRDefault="00467EC0">
      <w:r>
        <w:t>Нравственное превосходство христианства над шаманиз</w:t>
      </w:r>
      <w:r>
        <w:t>мом, богословские тонкости, литургические красоты, – всё это не представляется язычнику сколь</w:t>
      </w:r>
      <w:r>
        <w:noBreakHyphen/>
        <w:t>нибудь важным и существенным до тех пор, пока он не убедится, что маленький образок способен лишить силы шамана, который до сих пор казался ему самым могущественн</w:t>
      </w:r>
      <w:r>
        <w:t>ым человеком на свете. Только подобная победа открывает врата проповеди, только она способна придать вес словам и о нравственности, и о богословии, и о литургии. Преп. Макарий, разумеется, не убивал шаманов, но во времена Илии всем было ясно, что этот бого</w:t>
      </w:r>
      <w:r>
        <w:t>словский спор может решиться только со смертью одной из сторон.</w:t>
      </w:r>
    </w:p>
    <w:p w:rsidR="00000000" w:rsidRDefault="00467EC0">
      <w:r>
        <w:t>«Они понимают только силу», – говорили колонизаторы о «дикарях». Конечно же, это неверно. Но верно другое: бессилия они действительно не понимают. Миссионерам в Новой Гвинее, например, приходи</w:t>
      </w:r>
      <w:r>
        <w:t>лось сталкиваться с тем, что история о распятом Христе не вызывала у местных племён совершенно никакого сочувствия и уважения. Он был убит, значит, Он проиграл, не смог постоять даже за Себя Самого – ну и чем тогда Он может помочь нам?</w:t>
      </w:r>
    </w:p>
    <w:p w:rsidR="00000000" w:rsidRDefault="00467EC0">
      <w:r>
        <w:t>И для того, чтобы бы</w:t>
      </w:r>
      <w:r>
        <w:t>ть услышанными, проповедникам Единого Бога нередко приходится убеждать людей прежде всего в Его силе, Его безусловной способности одержать верх над языческими божествами. Но… не за счёт же мирного населения, как Иисус Навин – хочется тут возразить. И поэто</w:t>
      </w:r>
      <w:r>
        <w:t>му нам придётся разбираться дальше.</w:t>
      </w:r>
    </w:p>
    <w:p w:rsidR="00000000" w:rsidRDefault="00467EC0"/>
    <w:p w:rsidR="00000000" w:rsidRDefault="00467EC0">
      <w:pPr>
        <w:pStyle w:val="6"/>
      </w:pPr>
      <w:r>
        <w:t>Как воевали в те времена</w:t>
      </w:r>
    </w:p>
    <w:p w:rsidR="00000000" w:rsidRDefault="00467EC0"/>
    <w:p w:rsidR="00000000" w:rsidRDefault="00467EC0">
      <w:r>
        <w:t>В описываемое в книге Иисуса Навина время истребление побеждённого врага было нормой, а не исключением. Полководцы древности рассмеялись бы, читая Женевскую конвенцию, требующую гуманного обращ</w:t>
      </w:r>
      <w:r>
        <w:t xml:space="preserve">ения с военнопленными. Вот, например, как описывал свои славные подвиги ассирийский царь Ашшурназирпал II: </w:t>
      </w:r>
      <w:r>
        <w:rPr>
          <w:i/>
          <w:iCs/>
        </w:rPr>
        <w:t>«Множеством моих войск город я осадил и покорил, шестьсот бойцов сразил оружием, три тысячи пленных сжёг в огне, не оставив ни одного из них в заложн</w:t>
      </w:r>
      <w:r>
        <w:rPr>
          <w:i/>
          <w:iCs/>
        </w:rPr>
        <w:t>ики. Их тела я сложил башнями, их юношей и девушек сжёг на кострах. Их начальника поселения я ободрал, кожей его одел стену города. Другое поселение в окрестностях я покорил, пятьдесят их воинов сразил оружием, двести пленных сжёг в огне…»</w:t>
      </w:r>
      <w:r>
        <w:t xml:space="preserve">  И так до бескон</w:t>
      </w:r>
      <w:r>
        <w:t>ечности; обратите внимание, что он этим хвастается.</w:t>
      </w:r>
    </w:p>
    <w:p w:rsidR="00000000" w:rsidRDefault="00467EC0">
      <w:r>
        <w:t>Может, он был маньяком? Отнюдь нет. Рельефы и рисунки практически всех древних народов показывают нам царей, которые заносят орудие убийства над поверженными врагами: связанными, безоружными, обнажёнными.</w:t>
      </w:r>
      <w:r>
        <w:t xml:space="preserve"> В таком убийстве победители видели проявление своего величия и могущества.</w:t>
      </w:r>
    </w:p>
    <w:p w:rsidR="00000000" w:rsidRDefault="00467EC0">
      <w:r>
        <w:t>Глядя на эти изображения, читая эти хроники, начинаешь понимать, как много нового принесла книга, в самом начале которой человек назван образом и подобием Бога (иконой, говоря совр</w:t>
      </w:r>
      <w:r>
        <w:t>еменным языком), а его убийство объявлено преступлением. И этой книгой была Библия. Мир, в котором на протяжении веков звучала библейская проповедь, неузнаваемо изменился. И если Гитлер и Сталин творили зверства, сравнимые по жестокости с ассирийскими, они</w:t>
      </w:r>
      <w:r>
        <w:t xml:space="preserve"> никогда не подумали бы этим хвастаться.</w:t>
      </w:r>
    </w:p>
    <w:p w:rsidR="00000000" w:rsidRDefault="00467EC0">
      <w:r>
        <w:t>Более того, сегодня мы видим, что современные случаи массового убийства мирных жителей (Освенцим, ГУЛАГ, Хиросима) становятся «болевой точкой» лишь в тех странах, которые выросли на библейской традиции. Кто в Турции</w:t>
      </w:r>
      <w:r>
        <w:t xml:space="preserve"> вспоминает про геноцид армян в 1915 году? В Японии – про зверские убийства китайцев в 1930</w:t>
      </w:r>
      <w:r>
        <w:noBreakHyphen/>
        <w:t>е и 40</w:t>
      </w:r>
      <w:r>
        <w:noBreakHyphen/>
        <w:t>е годы? Практически никто. И не потому, что турки или японцы черствее немцев или русских, а потому, что их традиционная культура не основана на библейской за</w:t>
      </w:r>
      <w:r>
        <w:t>поведи «не убий», на видении человека как образа Бога, которое принёс в мир именно Ветхий Завет.</w:t>
      </w:r>
    </w:p>
    <w:p w:rsidR="00000000" w:rsidRDefault="00467EC0">
      <w:r>
        <w:t>И всё</w:t>
      </w:r>
      <w:r>
        <w:noBreakHyphen/>
        <w:t>таки это не снимает проблемы… Допустим, отвратительный обычай расправляться с пленными и мирным населением был настолько привычен, что Господь на тот мом</w:t>
      </w:r>
      <w:r>
        <w:t>ент не счёл нужным его отменять. Но почему Он призывал ему следовать?</w:t>
      </w:r>
    </w:p>
    <w:p w:rsidR="00000000" w:rsidRDefault="00467EC0"/>
    <w:p w:rsidR="00000000" w:rsidRDefault="00467EC0">
      <w:pPr>
        <w:pStyle w:val="6"/>
      </w:pPr>
      <w:r>
        <w:t>Что такое «мирное население»?</w:t>
      </w:r>
    </w:p>
    <w:p w:rsidR="00000000" w:rsidRDefault="00467EC0"/>
    <w:p w:rsidR="00000000" w:rsidRDefault="00467EC0">
      <w:r>
        <w:t>Давайте на время отвлечёмся и обратимся к недавнему опыту Второй мировой войны. Мирные жители гибли тогда не только в фашистских концлагерях, но и под бом</w:t>
      </w:r>
      <w:r>
        <w:t>бами союзников. До сих пор идёт спор, насколько оправданны были атомные бомбардировки Хиросимы и Нагасаки: да, они привели к страшным жертвам, но если бы их не было, говорят американские военные историки, Япония бы не капитулировала, США и СССР пришлось бы</w:t>
      </w:r>
      <w:r>
        <w:t xml:space="preserve"> высаживать десант на Японские острова, и жертв было бы ещё больше.</w:t>
      </w:r>
    </w:p>
    <w:p w:rsidR="00000000" w:rsidRDefault="00467EC0">
      <w:r>
        <w:t>Впрочем, и обычные бомбы, сброшенные на военный завод, вокзал или склад – разве не убивали они мирных жителей? Даже снайперская пуля в окопах Сталинграда обрывала жизнь человека, который л</w:t>
      </w:r>
      <w:r>
        <w:t xml:space="preserve">ично, может, и не был повинен в злодеяниях нацистов и у которого остались дома жена и дети. Но мы готовы оправдать эти жертвы, потому что понимаем: нацистская военная машина должна была быть сломана любой ценой. Жалость к одному конкретному немцу означала </w:t>
      </w:r>
      <w:r>
        <w:t>бы гибель и рабство для тысяч людей.</w:t>
      </w:r>
    </w:p>
    <w:p w:rsidR="00000000" w:rsidRDefault="00467EC0">
      <w:r>
        <w:t>В войне с коренными народами Палестины израильтяне, конечно, не применяли оружия массового поражения. Но ведь и сражались они не столько с армией, сколько с целой цивилизацией, которая должна была быть уничтожена, как в</w:t>
      </w:r>
      <w:r>
        <w:t xml:space="preserve"> наше время Третий Рейх. И здесь военная победа легко могла привести к религиозному и культурному поражению, как не раз случалось в истории: победители постепенно и как</w:t>
      </w:r>
      <w:r>
        <w:noBreakHyphen/>
        <w:t>то незаметно для себя перенимали культуру, традиции, обряды, даже язык побеждённых…</w:t>
      </w:r>
    </w:p>
    <w:p w:rsidR="00000000" w:rsidRDefault="00467EC0">
      <w:r>
        <w:t>Так</w:t>
      </w:r>
      <w:r>
        <w:t xml:space="preserve"> что же это были за обряды? И Библия, и археологические находки, и древние историки свидетельствуют, что традиции хананеев включали принесение в жертву собственных детей, не говоря уже о сексуальных оргиях, связанных с культами плодородия. Древние римляне </w:t>
      </w:r>
      <w:r>
        <w:t>вовсе не были сентиментальным народом, но жертвоприношения детей у карфагенян (народа, близко родственного хананеям) вызывали у них омерзение; и именно они стали одним из главных аргументов, почему «Карфаген должен быть разрушен». Не просто завоёван и подч</w:t>
      </w:r>
      <w:r>
        <w:t>инён, как прочие города, а разрушен, уничтожен – и когда город был взят, с ним так и поступили. Даже территорию его распахали плугом, чтобы показать: такого города больше не должно быть на свете.</w:t>
      </w:r>
    </w:p>
    <w:p w:rsidR="00000000" w:rsidRDefault="00467EC0">
      <w:r>
        <w:t>Точно так же относились древние израильтяне к местному насел</w:t>
      </w:r>
      <w:r>
        <w:t xml:space="preserve">ению Палестины. Ещё Аврааму было сказано, что его потомки овладеют этой землей, но не сразу, поскольку </w:t>
      </w:r>
      <w:r>
        <w:rPr>
          <w:i/>
          <w:iCs/>
        </w:rPr>
        <w:t>«мера беззаконий Аморреев доселе ещё не наполнилась»</w:t>
      </w:r>
      <w:r>
        <w:t xml:space="preserve">  (Быт. 15, 16). То есть Бог ждал перемен к лучшему долгие столетия, Он назначил некую невидимую черт</w:t>
      </w:r>
      <w:r>
        <w:t>у, «меру беззакония», за которой всю эту цивилизацию ждало уничтожение. И вряд ли это можно назвать слишком жестоким: дурная бесконечность греха была бы намного хуже.</w:t>
      </w:r>
    </w:p>
    <w:p w:rsidR="00000000" w:rsidRDefault="00467EC0">
      <w:r>
        <w:t>По отношению к хананеям израильтяне в данном случае выступили как «бич Божий» – позднее д</w:t>
      </w:r>
      <w:r>
        <w:t>ругие народы (ассирийцы, вавилоняне) сыграют ту же роль по отношению к самому Израилю. Но дело не только в наказании: Израиль должен был оградить себя от всех мерзостей местной религии. Кочевые скотоводы</w:t>
      </w:r>
      <w:r>
        <w:noBreakHyphen/>
        <w:t>израильтяне просто растворились бы в изысканной горо</w:t>
      </w:r>
      <w:r>
        <w:t>дской цивилизации Палестины, намного превосходившей их по своему культурному уровню. В результате учение о Едином Боге было бы утрачено человечеством. Словом, если бы эти народы не были истреблены, то ещё долгие века, возможно, и по сей день, люди приносил</w:t>
      </w:r>
      <w:r>
        <w:t>и бы в жертву идолам своих детей и считали бы это высшей формой религиозности. Было бы это гуманнее?</w:t>
      </w:r>
    </w:p>
    <w:p w:rsidR="00000000" w:rsidRDefault="00467EC0"/>
    <w:p w:rsidR="00000000" w:rsidRDefault="00467EC0">
      <w:pPr>
        <w:pStyle w:val="6"/>
      </w:pPr>
      <w:r>
        <w:t>Херем, он же анафема</w:t>
      </w:r>
    </w:p>
    <w:p w:rsidR="00000000" w:rsidRDefault="00467EC0"/>
    <w:p w:rsidR="00000000" w:rsidRDefault="00467EC0">
      <w:r>
        <w:t>Итак, когда израильтяне истребляли хананейские города, речь шла не просто о проявлении «молодецкой удали» и даже не о наказании, а о чём</w:t>
      </w:r>
      <w:r>
        <w:noBreakHyphen/>
        <w:t>то гораздо более важном и серьёзном. Чтобы понять это, взглянем на рассказанную в 7</w:t>
      </w:r>
      <w:r>
        <w:noBreakHyphen/>
        <w:t>й главе книги Иисуса Навина историю</w:t>
      </w:r>
      <w:r>
        <w:t xml:space="preserve"> человека по имени Ахан: он польстился на часть иерихонской добычи (красивую одежду, золото и серебро) и приберёг их для себя. Но Господь наслал на израильтян военное поражение и объявил: </w:t>
      </w:r>
      <w:r>
        <w:rPr>
          <w:i/>
          <w:iCs/>
        </w:rPr>
        <w:t>«заклятое среди тебя, Израиль; посему ты не можешь устоять пред враг</w:t>
      </w:r>
      <w:r>
        <w:rPr>
          <w:i/>
          <w:iCs/>
        </w:rPr>
        <w:t>ами твоими, доколе не отдалишь от себя заклятого»</w:t>
      </w:r>
      <w:r>
        <w:t xml:space="preserve"> .</w:t>
      </w:r>
    </w:p>
    <w:p w:rsidR="00000000" w:rsidRDefault="00467EC0">
      <w:r>
        <w:t xml:space="preserve">Слово «заклятое» на древнееврейском языке звучало как «херем» (его арабский </w:t>
      </w:r>
      <w:r>
        <w:lastRenderedPageBreak/>
        <w:t>эквивалент вошёл в русский язык как «гарем», то есть нечто запретное для всех, кроме одного человека). А в древнегреческом перев</w:t>
      </w:r>
      <w:r>
        <w:t>оде появилось такое знакомее нам сегодня слово «анафема»… Что же это такое?</w:t>
      </w:r>
    </w:p>
    <w:p w:rsidR="00000000" w:rsidRDefault="00467EC0">
      <w:r>
        <w:t xml:space="preserve">Это слово означает не что иное как жертвоприношение: нечто целиком, полностью и навсегда отданное Богу. Оно изымается из повседневного обихода и человек больше не имеет права этим </w:t>
      </w:r>
      <w:r>
        <w:t>пользоваться. Это могли быть участок земли или животное, которое в таком случае приносилось в жертву. Но в данном случае речь шла о целых городах. Израильтянам было сказано: вам не принадлежит ничего из завоёванного, всё это отдаётся Господу. Ни одна живая</w:t>
      </w:r>
      <w:r>
        <w:t xml:space="preserve"> душа, ни один предмет из этих городов не могли остаться у израильтян, как при чуме или радиоактивном заражении. В те суровые времена это означало одно – тотальное истребление.</w:t>
      </w:r>
    </w:p>
    <w:p w:rsidR="00000000" w:rsidRDefault="00467EC0">
      <w:r>
        <w:t>Конечно, в наши дни, когда кого</w:t>
      </w:r>
      <w:r>
        <w:noBreakHyphen/>
        <w:t>то предают церковной анафеме, его не убивают, н</w:t>
      </w:r>
      <w:r>
        <w:t>о говорят примерно то же самое: этот человек не имеет к нам никакого отношения, пусть Господь поступает с ним, как сочтёт нужным (примерно так использовал это слово и апостол Павел, например, в 1 Кор. 16, 22).</w:t>
      </w:r>
    </w:p>
    <w:p w:rsidR="00000000" w:rsidRDefault="00467EC0">
      <w:r>
        <w:t xml:space="preserve">Это разительно отличается от того, что делали </w:t>
      </w:r>
      <w:r>
        <w:t>и чем хвастались ассирийские цари.</w:t>
      </w:r>
    </w:p>
    <w:p w:rsidR="00000000" w:rsidRDefault="00467EC0"/>
    <w:p w:rsidR="00000000" w:rsidRDefault="00467EC0">
      <w:pPr>
        <w:pStyle w:val="6"/>
      </w:pPr>
      <w:r>
        <w:t>Чему учит книга Иисуса Навина?</w:t>
      </w:r>
    </w:p>
    <w:p w:rsidR="00000000" w:rsidRDefault="00467EC0"/>
    <w:p w:rsidR="00000000" w:rsidRDefault="00467EC0">
      <w:r>
        <w:t>Конечно, это далеко не единственное возможное толкование этой непростой книги. К сожалению, на протяжении истории люди не раз с лёгкостью цитировали её в оправдание своих собственных завое</w:t>
      </w:r>
      <w:r>
        <w:t>ваний. Например, североамериканские колонисты часто видели себя израильтянами, отвоёвывающими у нечестивых туземцев свою «землю обетованную». Этим и объяснялась отчасти их жестокость по отношению к индейцам.</w:t>
      </w:r>
    </w:p>
    <w:p w:rsidR="00000000" w:rsidRDefault="00467EC0">
      <w:r>
        <w:t>Да и в современном государстве Израиль нередко в</w:t>
      </w:r>
      <w:r>
        <w:t>споминают Ешуа Бен</w:t>
      </w:r>
      <w:r>
        <w:noBreakHyphen/>
        <w:t>Нуна (так звучит имя Иисуса Навина на древнееврейском) в связи с вопросом о государственных границах: раз он эту землю отвоевал, значит, она навеки наша, а кто с этим не согласен, пусть убирается подальше.</w:t>
      </w:r>
    </w:p>
    <w:p w:rsidR="00000000" w:rsidRDefault="00467EC0">
      <w:r>
        <w:t>Разумеется, такое прочтение оче</w:t>
      </w:r>
      <w:r>
        <w:t>нь далёко от изначального смысла книги. Да, в ней проводятся границы – но только для своего времени; да, в ней предписывается истребление народов – но только этих конкретных народов, давно исчезнувших с лица земли. Да и не про то, в сущности, книга… Чему ж</w:t>
      </w:r>
      <w:r>
        <w:t>е учит она в первую очередь?</w:t>
      </w:r>
    </w:p>
    <w:p w:rsidR="00000000" w:rsidRDefault="00467EC0">
      <w:r>
        <w:rPr>
          <w:i/>
          <w:iCs/>
        </w:rPr>
        <w:t>«Будь твёрд и мужествен; ибо ты народу сему передашь во владение землю, которую Я клялся отцам их дать им; только будь твёрд и очень мужествен, и тщательно храни и исполняй весь закон, который завещал тебе Моисей, раб Мой; не у</w:t>
      </w:r>
      <w:r>
        <w:rPr>
          <w:i/>
          <w:iCs/>
        </w:rPr>
        <w:t>клоняйся от него ни направо, ни налево»</w:t>
      </w:r>
      <w:r>
        <w:t xml:space="preserve"> , – так Господь говорит Иисусу (Ис. Нав. 1, 6</w:t>
      </w:r>
      <w:r>
        <w:noBreakHyphen/>
        <w:t>7). С этого призыва начинается эта книга, а вовсе не с призыва уничтожать всё живое, хотя сегодня чаще всего вспоминают именно о нём.</w:t>
      </w:r>
    </w:p>
    <w:p w:rsidR="00000000" w:rsidRDefault="00467EC0">
      <w:r>
        <w:t>Израильтяне – пожалуй, впервые в мир</w:t>
      </w:r>
      <w:r>
        <w:t xml:space="preserve">овой истории – отказались истреблять врагов по собственному почину, передав решение в руки своего Бога. Да, они вели кровавые войны, но это были «войны Господа», войны с теми, кто выступал как Его враг. Если они вторгались в чужую землю, то не потому, что </w:t>
      </w:r>
      <w:r>
        <w:t>земля эта им очень понравилась, или её обитатели чем</w:t>
      </w:r>
      <w:r>
        <w:noBreakHyphen/>
        <w:t>то их обидели, а потому, что так велел им Господь.</w:t>
      </w:r>
    </w:p>
    <w:p w:rsidR="00000000" w:rsidRDefault="00467EC0">
      <w:r>
        <w:t xml:space="preserve">И совершенно неправы те, кто приводит эту книгу в оправдание собственных военных кампаний: то, что было сказано Иисусу Навину в конкретной исторической </w:t>
      </w:r>
      <w:r>
        <w:t>ситуации, распространять на другие времена и другие народы ни у кого права нет.</w:t>
      </w:r>
    </w:p>
    <w:p w:rsidR="00000000" w:rsidRDefault="00467EC0">
      <w:r>
        <w:t>От Иисуса Навина до Иисуса Христа, давшего нам заповедь «подставь другую щеку», предстоял ещё очень долгий путь, но очень важный шаг на этом пути был сделан. И в книге Иисуса Н</w:t>
      </w:r>
      <w:r>
        <w:t>авина много раз мы встречаем фразу «будь твёрд и мужествен». Современные христиане часто забывают эти слова. Но во все времена бывают моменты, когда верующему нужно быть не созерцателем, а воином. Этому и учит книга Иисуса Навина.</w:t>
      </w:r>
    </w:p>
    <w:p w:rsidR="00467EC0" w:rsidRDefault="00467EC0"/>
    <w:sectPr w:rsidR="00467EC0">
      <w:headerReference w:type="default" r:id="rId7"/>
      <w:pgSz w:w="11906" w:h="16838"/>
      <w:pgMar w:top="1021" w:right="851" w:bottom="851" w:left="1134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EC0" w:rsidRDefault="00467EC0">
      <w:r>
        <w:separator/>
      </w:r>
    </w:p>
  </w:endnote>
  <w:endnote w:type="continuationSeparator" w:id="0">
    <w:p w:rsidR="00467EC0" w:rsidRDefault="00467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EC0" w:rsidRDefault="00467EC0">
      <w:r>
        <w:separator/>
      </w:r>
    </w:p>
  </w:footnote>
  <w:footnote w:type="continuationSeparator" w:id="0">
    <w:p w:rsidR="00467EC0" w:rsidRDefault="00467EC0">
      <w:r>
        <w:continuationSeparator/>
      </w:r>
    </w:p>
  </w:footnote>
  <w:footnote w:id="1">
    <w:p w:rsidR="00000000" w:rsidRDefault="00467EC0">
      <w:pPr>
        <w:pStyle w:val="FootNote"/>
      </w:pPr>
      <w:r>
        <w:rPr>
          <w:position w:val="6"/>
        </w:rPr>
        <w:footnoteRef/>
      </w:r>
      <w:r>
        <w:t xml:space="preserve"> Зуб за зуб, или жесток ли Моисеев Закон? // Фома. – 2006. – </w:t>
      </w:r>
      <w:r>
        <w:t>№</w:t>
      </w:r>
      <w:r>
        <w:t xml:space="preserve"> 6. – С. 52</w:t>
      </w:r>
      <w:r>
        <w:noBreakHyphen/>
        <w:t>56.</w:t>
      </w:r>
    </w:p>
    <w:p w:rsidR="00000000" w:rsidRDefault="00467EC0">
      <w:pPr>
        <w:pStyle w:val="FootNote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67EC0">
    <w:pPr>
      <w:framePr w:wrap="auto" w:vAnchor="text" w:hAnchor="margin" w:xAlign="right" w:y="-29"/>
      <w:ind w:firstLine="0"/>
      <w:jc w:val="left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fldChar w:fldCharType="begin"/>
    </w:r>
    <w:r>
      <w:rPr>
        <w:rFonts w:ascii="Arial" w:hAnsi="Arial" w:cs="Arial"/>
        <w:b/>
        <w:bCs/>
        <w:sz w:val="20"/>
        <w:szCs w:val="20"/>
      </w:rPr>
      <w:instrText>PAGE</w:instrText>
    </w:r>
    <w:r w:rsidR="00305F46">
      <w:rPr>
        <w:rFonts w:ascii="Arial" w:hAnsi="Arial" w:cs="Arial"/>
        <w:b/>
        <w:bCs/>
        <w:sz w:val="20"/>
        <w:szCs w:val="20"/>
      </w:rPr>
      <w:fldChar w:fldCharType="separate"/>
    </w:r>
    <w:r w:rsidR="00305F46">
      <w:rPr>
        <w:rFonts w:ascii="Arial" w:hAnsi="Arial" w:cs="Arial"/>
        <w:b/>
        <w:bCs/>
        <w:noProof/>
        <w:sz w:val="20"/>
        <w:szCs w:val="20"/>
      </w:rPr>
      <w:t>4</w:t>
    </w:r>
    <w:r>
      <w:rPr>
        <w:rFonts w:ascii="Arial" w:hAnsi="Arial" w:cs="Arial"/>
        <w:b/>
        <w:bCs/>
        <w:sz w:val="20"/>
        <w:szCs w:val="20"/>
      </w:rPr>
      <w:fldChar w:fldCharType="end"/>
    </w:r>
  </w:p>
  <w:p w:rsidR="00000000" w:rsidRDefault="00467EC0">
    <w:pPr>
      <w:pStyle w:val="Colon"/>
    </w:pPr>
    <w:r>
      <w:t>Андрей Сергеевич Десницкий: «Призывает ли Библия к геноциду?»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F46"/>
    <w:rsid w:val="00305F46"/>
    <w:rsid w:val="0046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ind w:firstLine="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ind w:firstLine="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ind w:firstLine="0"/>
      <w:jc w:val="center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pPr>
      <w:ind w:firstLine="0"/>
      <w:jc w:val="center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ind w:firstLine="0"/>
      <w:jc w:val="center"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uiPriority w:val="99"/>
    <w:qFormat/>
    <w:pPr>
      <w:ind w:firstLine="0"/>
      <w:jc w:val="center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b/>
      <w:bCs/>
    </w:rPr>
  </w:style>
  <w:style w:type="paragraph" w:customStyle="1" w:styleId="Epigraph">
    <w:name w:val="Epigraph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3000" w:firstLine="400"/>
      <w:jc w:val="both"/>
    </w:pPr>
    <w:rPr>
      <w:rFonts w:ascii="Times New Roman" w:hAnsi="Times New Roman" w:cs="Times New Roman"/>
      <w:i/>
      <w:iCs/>
    </w:rPr>
  </w:style>
  <w:style w:type="paragraph" w:customStyle="1" w:styleId="EpigraphAuthor">
    <w:name w:val="Epigraph Author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3000" w:firstLine="400"/>
      <w:jc w:val="both"/>
    </w:pPr>
    <w:rPr>
      <w:rFonts w:ascii="Times New Roman" w:hAnsi="Times New Roman" w:cs="Times New Roman"/>
      <w:b/>
      <w:bCs/>
    </w:rPr>
  </w:style>
  <w:style w:type="paragraph" w:customStyle="1" w:styleId="Annotation">
    <w:name w:val="Annotation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ite">
    <w:name w:val="Cite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1134" w:right="600" w:firstLine="400"/>
      <w:jc w:val="both"/>
    </w:pPr>
    <w:rPr>
      <w:rFonts w:ascii="Times New Roman" w:hAnsi="Times New Roman" w:cs="Times New Roman"/>
    </w:rPr>
  </w:style>
  <w:style w:type="paragraph" w:customStyle="1" w:styleId="CiteAuthor">
    <w:name w:val="Cite Author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1701" w:right="600" w:firstLine="400"/>
      <w:jc w:val="both"/>
    </w:pPr>
    <w:rPr>
      <w:rFonts w:ascii="Times New Roman" w:hAnsi="Times New Roman" w:cs="Times New Roman"/>
      <w:b/>
      <w:bCs/>
      <w:i/>
      <w:iCs/>
    </w:rPr>
  </w:style>
  <w:style w:type="paragraph" w:customStyle="1" w:styleId="PoemTitle">
    <w:name w:val="Poem Title"/>
    <w:next w:val="a"/>
    <w:uiPriority w:val="99"/>
    <w:pPr>
      <w:widowControl w:val="0"/>
      <w:autoSpaceDE w:val="0"/>
      <w:autoSpaceDN w:val="0"/>
      <w:adjustRightInd w:val="0"/>
      <w:spacing w:before="12" w:after="0" w:line="240" w:lineRule="auto"/>
      <w:ind w:left="2000" w:right="600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tanza">
    <w:name w:val="Stanza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2000" w:right="600" w:firstLine="400"/>
    </w:pPr>
    <w:rPr>
      <w:rFonts w:ascii="Times New Roman" w:hAnsi="Times New Roman" w:cs="Times New Roman"/>
      <w:sz w:val="24"/>
      <w:szCs w:val="24"/>
    </w:rPr>
  </w:style>
  <w:style w:type="paragraph" w:customStyle="1" w:styleId="FootNote">
    <w:name w:val="FootNote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firstLine="200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FootNoteEpigraph">
    <w:name w:val="FootNote Epigraph"/>
    <w:uiPriority w:val="99"/>
    <w:pPr>
      <w:widowControl w:val="0"/>
      <w:autoSpaceDE w:val="0"/>
      <w:autoSpaceDN w:val="0"/>
      <w:adjustRightInd w:val="0"/>
      <w:spacing w:after="0" w:line="240" w:lineRule="auto"/>
      <w:ind w:left="1500" w:firstLine="400"/>
      <w:jc w:val="both"/>
    </w:pPr>
    <w:rPr>
      <w:rFonts w:ascii="Times New Roman" w:hAnsi="Times New Roman" w:cs="Times New Roman"/>
      <w:i/>
      <w:iCs/>
      <w:sz w:val="18"/>
      <w:szCs w:val="18"/>
    </w:rPr>
  </w:style>
  <w:style w:type="paragraph" w:customStyle="1" w:styleId="FootNoteStanza">
    <w:name w:val="FootNote Stanza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500" w:right="600"/>
    </w:pPr>
    <w:rPr>
      <w:rFonts w:ascii="Times New Roman" w:hAnsi="Times New Roman" w:cs="Times New Roman"/>
      <w:sz w:val="18"/>
      <w:szCs w:val="18"/>
    </w:rPr>
  </w:style>
  <w:style w:type="paragraph" w:customStyle="1" w:styleId="FootNoteCite">
    <w:name w:val="FootNote Cite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300" w:right="600"/>
      <w:jc w:val="both"/>
    </w:pPr>
    <w:rPr>
      <w:rFonts w:ascii="Times New Roman" w:hAnsi="Times New Roman" w:cs="Times New Roman"/>
      <w:sz w:val="18"/>
      <w:szCs w:val="18"/>
    </w:rPr>
  </w:style>
  <w:style w:type="paragraph" w:customStyle="1" w:styleId="FootNoteCiteAuthor">
    <w:name w:val="FootNote Cite Author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350" w:right="600"/>
      <w:jc w:val="both"/>
    </w:pPr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FootNotePoemTitle">
    <w:name w:val="FootNote Poem Title"/>
    <w:next w:val="a"/>
    <w:uiPriority w:val="99"/>
    <w:pPr>
      <w:widowControl w:val="0"/>
      <w:autoSpaceDE w:val="0"/>
      <w:autoSpaceDN w:val="0"/>
      <w:adjustRightInd w:val="0"/>
      <w:spacing w:before="12" w:after="0" w:line="240" w:lineRule="auto"/>
      <w:ind w:left="2000" w:right="600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Colon">
    <w:name w:val="Colon"/>
    <w:next w:val="a"/>
    <w:uiPriority w:val="99"/>
    <w:pPr>
      <w:widowControl w:val="0"/>
      <w:pBdr>
        <w:bottom w:val="single" w:sz="4" w:space="1" w:color="auto"/>
      </w:pBd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ind w:firstLine="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ind w:firstLine="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ind w:firstLine="0"/>
      <w:jc w:val="center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pPr>
      <w:ind w:firstLine="0"/>
      <w:jc w:val="center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ind w:firstLine="0"/>
      <w:jc w:val="center"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uiPriority w:val="99"/>
    <w:qFormat/>
    <w:pPr>
      <w:ind w:firstLine="0"/>
      <w:jc w:val="center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b/>
      <w:bCs/>
    </w:rPr>
  </w:style>
  <w:style w:type="paragraph" w:customStyle="1" w:styleId="Epigraph">
    <w:name w:val="Epigraph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3000" w:firstLine="400"/>
      <w:jc w:val="both"/>
    </w:pPr>
    <w:rPr>
      <w:rFonts w:ascii="Times New Roman" w:hAnsi="Times New Roman" w:cs="Times New Roman"/>
      <w:i/>
      <w:iCs/>
    </w:rPr>
  </w:style>
  <w:style w:type="paragraph" w:customStyle="1" w:styleId="EpigraphAuthor">
    <w:name w:val="Epigraph Author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3000" w:firstLine="400"/>
      <w:jc w:val="both"/>
    </w:pPr>
    <w:rPr>
      <w:rFonts w:ascii="Times New Roman" w:hAnsi="Times New Roman" w:cs="Times New Roman"/>
      <w:b/>
      <w:bCs/>
    </w:rPr>
  </w:style>
  <w:style w:type="paragraph" w:customStyle="1" w:styleId="Annotation">
    <w:name w:val="Annotation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ite">
    <w:name w:val="Cite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1134" w:right="600" w:firstLine="400"/>
      <w:jc w:val="both"/>
    </w:pPr>
    <w:rPr>
      <w:rFonts w:ascii="Times New Roman" w:hAnsi="Times New Roman" w:cs="Times New Roman"/>
    </w:rPr>
  </w:style>
  <w:style w:type="paragraph" w:customStyle="1" w:styleId="CiteAuthor">
    <w:name w:val="Cite Author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1701" w:right="600" w:firstLine="400"/>
      <w:jc w:val="both"/>
    </w:pPr>
    <w:rPr>
      <w:rFonts w:ascii="Times New Roman" w:hAnsi="Times New Roman" w:cs="Times New Roman"/>
      <w:b/>
      <w:bCs/>
      <w:i/>
      <w:iCs/>
    </w:rPr>
  </w:style>
  <w:style w:type="paragraph" w:customStyle="1" w:styleId="PoemTitle">
    <w:name w:val="Poem Title"/>
    <w:next w:val="a"/>
    <w:uiPriority w:val="99"/>
    <w:pPr>
      <w:widowControl w:val="0"/>
      <w:autoSpaceDE w:val="0"/>
      <w:autoSpaceDN w:val="0"/>
      <w:adjustRightInd w:val="0"/>
      <w:spacing w:before="12" w:after="0" w:line="240" w:lineRule="auto"/>
      <w:ind w:left="2000" w:right="600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tanza">
    <w:name w:val="Stanza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2000" w:right="600" w:firstLine="400"/>
    </w:pPr>
    <w:rPr>
      <w:rFonts w:ascii="Times New Roman" w:hAnsi="Times New Roman" w:cs="Times New Roman"/>
      <w:sz w:val="24"/>
      <w:szCs w:val="24"/>
    </w:rPr>
  </w:style>
  <w:style w:type="paragraph" w:customStyle="1" w:styleId="FootNote">
    <w:name w:val="FootNote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firstLine="200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FootNoteEpigraph">
    <w:name w:val="FootNote Epigraph"/>
    <w:uiPriority w:val="99"/>
    <w:pPr>
      <w:widowControl w:val="0"/>
      <w:autoSpaceDE w:val="0"/>
      <w:autoSpaceDN w:val="0"/>
      <w:adjustRightInd w:val="0"/>
      <w:spacing w:after="0" w:line="240" w:lineRule="auto"/>
      <w:ind w:left="1500" w:firstLine="400"/>
      <w:jc w:val="both"/>
    </w:pPr>
    <w:rPr>
      <w:rFonts w:ascii="Times New Roman" w:hAnsi="Times New Roman" w:cs="Times New Roman"/>
      <w:i/>
      <w:iCs/>
      <w:sz w:val="18"/>
      <w:szCs w:val="18"/>
    </w:rPr>
  </w:style>
  <w:style w:type="paragraph" w:customStyle="1" w:styleId="FootNoteStanza">
    <w:name w:val="FootNote Stanza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500" w:right="600"/>
    </w:pPr>
    <w:rPr>
      <w:rFonts w:ascii="Times New Roman" w:hAnsi="Times New Roman" w:cs="Times New Roman"/>
      <w:sz w:val="18"/>
      <w:szCs w:val="18"/>
    </w:rPr>
  </w:style>
  <w:style w:type="paragraph" w:customStyle="1" w:styleId="FootNoteCite">
    <w:name w:val="FootNote Cite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300" w:right="600"/>
      <w:jc w:val="both"/>
    </w:pPr>
    <w:rPr>
      <w:rFonts w:ascii="Times New Roman" w:hAnsi="Times New Roman" w:cs="Times New Roman"/>
      <w:sz w:val="18"/>
      <w:szCs w:val="18"/>
    </w:rPr>
  </w:style>
  <w:style w:type="paragraph" w:customStyle="1" w:styleId="FootNoteCiteAuthor">
    <w:name w:val="FootNote Cite Author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350" w:right="600"/>
      <w:jc w:val="both"/>
    </w:pPr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FootNotePoemTitle">
    <w:name w:val="FootNote Poem Title"/>
    <w:next w:val="a"/>
    <w:uiPriority w:val="99"/>
    <w:pPr>
      <w:widowControl w:val="0"/>
      <w:autoSpaceDE w:val="0"/>
      <w:autoSpaceDN w:val="0"/>
      <w:adjustRightInd w:val="0"/>
      <w:spacing w:before="12" w:after="0" w:line="240" w:lineRule="auto"/>
      <w:ind w:left="2000" w:right="600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Colon">
    <w:name w:val="Colon"/>
    <w:next w:val="a"/>
    <w:uiPriority w:val="99"/>
    <w:pPr>
      <w:widowControl w:val="0"/>
      <w:pBdr>
        <w:bottom w:val="single" w:sz="4" w:space="1" w:color="auto"/>
      </w:pBd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2187</Words>
  <Characters>12471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Призывает ли Библия к геноциду?</vt:lpstr>
    </vt:vector>
  </TitlesOfParts>
  <Company>SPecialiST RePack</Company>
  <LinksUpToDate>false</LinksUpToDate>
  <CharactersWithSpaces>14629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Призывает ли Библия к геноциду?</dc:title>
  <dc:creator>Андрей Сергеевич Десницкий</dc:creator>
  <cp:lastModifiedBy>Админ</cp:lastModifiedBy>
  <cp:revision>2</cp:revision>
  <dcterms:created xsi:type="dcterms:W3CDTF">2021-03-10T13:03:00Z</dcterms:created>
  <dcterms:modified xsi:type="dcterms:W3CDTF">2021-03-10T13:03:00Z</dcterms:modified>
</cp:coreProperties>
</file>